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7200" w14:textId="77777777" w:rsidR="009478EC" w:rsidRDefault="009478EC"/>
    <w:p w14:paraId="4E1C4C29" w14:textId="77777777" w:rsidR="009478EC" w:rsidRDefault="009478EC"/>
    <w:p w14:paraId="2EFFF101" w14:textId="77777777" w:rsidR="009478EC" w:rsidRDefault="009478EC"/>
    <w:p w14:paraId="06CE9FA7" w14:textId="77777777" w:rsidR="009478EC" w:rsidRDefault="009478EC"/>
    <w:p w14:paraId="181D2DCE" w14:textId="77777777" w:rsidR="009478EC" w:rsidRDefault="009478EC"/>
    <w:p w14:paraId="7C897B71" w14:textId="77777777" w:rsidR="009478EC" w:rsidRDefault="009478EC"/>
    <w:p w14:paraId="11B01DFB" w14:textId="32FBD3E3" w:rsidR="00416381" w:rsidRPr="009478EC" w:rsidRDefault="00223F0D" w:rsidP="009478EC">
      <w:pPr>
        <w:jc w:val="center"/>
        <w:rPr>
          <w:b/>
          <w:bCs/>
          <w:sz w:val="96"/>
          <w:szCs w:val="96"/>
        </w:rPr>
      </w:pPr>
      <w:r w:rsidRPr="009478EC">
        <w:rPr>
          <w:b/>
          <w:bCs/>
          <w:sz w:val="96"/>
          <w:szCs w:val="96"/>
        </w:rPr>
        <w:t xml:space="preserve">Manufacturing Sales </w:t>
      </w:r>
      <w:r w:rsidR="009478EC">
        <w:rPr>
          <w:b/>
          <w:bCs/>
          <w:sz w:val="96"/>
          <w:szCs w:val="96"/>
        </w:rPr>
        <w:t>&amp;</w:t>
      </w:r>
      <w:r w:rsidRPr="009478EC">
        <w:rPr>
          <w:b/>
          <w:bCs/>
          <w:sz w:val="96"/>
          <w:szCs w:val="96"/>
        </w:rPr>
        <w:t xml:space="preserve"> Units of Measure</w:t>
      </w:r>
    </w:p>
    <w:p w14:paraId="4CE991A8" w14:textId="77777777" w:rsidR="009478EC" w:rsidRDefault="009478EC"/>
    <w:p w14:paraId="68FB6723" w14:textId="01FC738D" w:rsidR="00223F0D" w:rsidRPr="009478EC" w:rsidRDefault="00223F0D" w:rsidP="009478EC">
      <w:pPr>
        <w:jc w:val="center"/>
        <w:rPr>
          <w:b/>
          <w:bCs/>
          <w:sz w:val="72"/>
          <w:szCs w:val="72"/>
        </w:rPr>
      </w:pPr>
      <w:r w:rsidRPr="009478EC">
        <w:rPr>
          <w:b/>
          <w:bCs/>
          <w:sz w:val="72"/>
          <w:szCs w:val="72"/>
        </w:rPr>
        <w:t>July 2023</w:t>
      </w:r>
    </w:p>
    <w:p w14:paraId="1C1004FF" w14:textId="6D2FF2C3" w:rsidR="00223F0D" w:rsidRPr="009478EC" w:rsidRDefault="00223F0D" w:rsidP="009478EC">
      <w:pPr>
        <w:jc w:val="center"/>
        <w:rPr>
          <w:b/>
          <w:bCs/>
          <w:sz w:val="72"/>
          <w:szCs w:val="72"/>
        </w:rPr>
      </w:pPr>
      <w:proofErr w:type="spellStart"/>
      <w:r w:rsidRPr="009478EC">
        <w:rPr>
          <w:b/>
          <w:bCs/>
          <w:sz w:val="72"/>
          <w:szCs w:val="72"/>
        </w:rPr>
        <w:t>Mascidon</w:t>
      </w:r>
      <w:proofErr w:type="spellEnd"/>
      <w:r w:rsidRPr="009478EC">
        <w:rPr>
          <w:b/>
          <w:bCs/>
          <w:sz w:val="72"/>
          <w:szCs w:val="72"/>
        </w:rPr>
        <w:t xml:space="preserve"> LLC</w:t>
      </w:r>
    </w:p>
    <w:p w14:paraId="67BAC1C0" w14:textId="02A7CCB4" w:rsidR="00223F0D" w:rsidRDefault="00223F0D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58735263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D90521C" w14:textId="3AB7E7C8" w:rsidR="009478EC" w:rsidRDefault="009478EC">
          <w:pPr>
            <w:pStyle w:val="TOCHeading"/>
          </w:pPr>
          <w:r>
            <w:t>Contents</w:t>
          </w:r>
        </w:p>
        <w:p w14:paraId="47D8B10D" w14:textId="65AB2EF8" w:rsidR="0074748F" w:rsidRDefault="009478E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2504016" w:history="1">
            <w:r w:rsidR="0074748F" w:rsidRPr="008B0F0A">
              <w:rPr>
                <w:rStyle w:val="Hyperlink"/>
                <w:noProof/>
              </w:rPr>
              <w:t>SAP B1 Units of Measure</w:t>
            </w:r>
            <w:r w:rsidR="0074748F">
              <w:rPr>
                <w:noProof/>
                <w:webHidden/>
              </w:rPr>
              <w:tab/>
            </w:r>
            <w:r w:rsidR="0074748F">
              <w:rPr>
                <w:noProof/>
                <w:webHidden/>
              </w:rPr>
              <w:fldChar w:fldCharType="begin"/>
            </w:r>
            <w:r w:rsidR="0074748F">
              <w:rPr>
                <w:noProof/>
                <w:webHidden/>
              </w:rPr>
              <w:instrText xml:space="preserve"> PAGEREF _Toc142504016 \h </w:instrText>
            </w:r>
            <w:r w:rsidR="0074748F">
              <w:rPr>
                <w:noProof/>
                <w:webHidden/>
              </w:rPr>
            </w:r>
            <w:r w:rsidR="0074748F">
              <w:rPr>
                <w:noProof/>
                <w:webHidden/>
              </w:rPr>
              <w:fldChar w:fldCharType="separate"/>
            </w:r>
            <w:r w:rsidR="0074748F">
              <w:rPr>
                <w:noProof/>
                <w:webHidden/>
              </w:rPr>
              <w:t>3</w:t>
            </w:r>
            <w:r w:rsidR="0074748F">
              <w:rPr>
                <w:noProof/>
                <w:webHidden/>
              </w:rPr>
              <w:fldChar w:fldCharType="end"/>
            </w:r>
          </w:hyperlink>
        </w:p>
        <w:p w14:paraId="5F0D1E48" w14:textId="26952172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17" w:history="1">
            <w:r w:rsidRPr="008B0F0A">
              <w:rPr>
                <w:rStyle w:val="Hyperlink"/>
                <w:noProof/>
              </w:rPr>
              <w:t>Figure 1.1 Units of Measure Setup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F92D7" w14:textId="4D7DA4ED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18" w:history="1">
            <w:r w:rsidRPr="008B0F0A">
              <w:rPr>
                <w:rStyle w:val="Hyperlink"/>
                <w:noProof/>
              </w:rPr>
              <w:t>Figure 1.2 Packaging – Pallet Setup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0FE0D" w14:textId="2520C16D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19" w:history="1">
            <w:r w:rsidRPr="008B0F0A">
              <w:rPr>
                <w:rStyle w:val="Hyperlink"/>
                <w:noProof/>
              </w:rPr>
              <w:t>Figure 1.3 Unit of Measure Group Definition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EF831" w14:textId="02EEA774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20" w:history="1">
            <w:r w:rsidRPr="008B0F0A">
              <w:rPr>
                <w:rStyle w:val="Hyperlink"/>
                <w:noProof/>
              </w:rPr>
              <w:t>Figure 1.4 Part Using BOX1 with 20 Pieces in the Box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41D82" w14:textId="1056B109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21" w:history="1">
            <w:r w:rsidRPr="008B0F0A">
              <w:rPr>
                <w:rStyle w:val="Hyperlink"/>
                <w:noProof/>
              </w:rPr>
              <w:t>Figure 1.5 Sales UoM and Package Types for a Specific Item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4CD66C" w14:textId="365684E2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22" w:history="1">
            <w:r w:rsidRPr="008B0F0A">
              <w:rPr>
                <w:rStyle w:val="Hyperlink"/>
                <w:noProof/>
              </w:rPr>
              <w:t>Figure 1.6 Second Part Setup – Quantity 10 per box, 16 Boxes / Pallet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AD109" w14:textId="2FD31867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23" w:history="1">
            <w:r w:rsidRPr="008B0F0A">
              <w:rPr>
                <w:rStyle w:val="Hyperlink"/>
                <w:noProof/>
              </w:rPr>
              <w:t>Figure 1.7 Pricing by UoM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24461" w14:textId="77FB3817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24" w:history="1">
            <w:r w:rsidRPr="008B0F0A">
              <w:rPr>
                <w:rStyle w:val="Hyperlink"/>
                <w:noProof/>
              </w:rPr>
              <w:t>Processing an Order Using Box Quantities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5E554" w14:textId="72AFACF9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25" w:history="1">
            <w:r w:rsidRPr="008B0F0A">
              <w:rPr>
                <w:rStyle w:val="Hyperlink"/>
                <w:noProof/>
              </w:rPr>
              <w:t>Figure 1.8 Sales Order – Single Item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B81D1" w14:textId="12D3C37B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26" w:history="1">
            <w:r w:rsidRPr="008B0F0A">
              <w:rPr>
                <w:rStyle w:val="Hyperlink"/>
                <w:noProof/>
              </w:rPr>
              <w:t>Figure 1.9 Delivery Order – Single Item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FDF2D" w14:textId="5E9EA3E9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27" w:history="1">
            <w:r w:rsidRPr="008B0F0A">
              <w:rPr>
                <w:rStyle w:val="Hyperlink"/>
                <w:noProof/>
              </w:rPr>
              <w:t>Figure 1.10 Auto Definition of Packaging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1C0A6" w14:textId="03FF646C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28" w:history="1">
            <w:r w:rsidRPr="008B0F0A">
              <w:rPr>
                <w:rStyle w:val="Hyperlink"/>
                <w:noProof/>
              </w:rPr>
              <w:t>Figure 1.11 Delivery Order Printed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89186" w14:textId="5BE49EBD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29" w:history="1">
            <w:r w:rsidRPr="008B0F0A">
              <w:rPr>
                <w:rStyle w:val="Hyperlink"/>
                <w:noProof/>
              </w:rPr>
              <w:t>Figure 1.12 Sales Order with 2 Parts with Box – Pallet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9386D8" w14:textId="1CA2D81F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30" w:history="1">
            <w:r w:rsidRPr="008B0F0A">
              <w:rPr>
                <w:rStyle w:val="Hyperlink"/>
                <w:noProof/>
              </w:rPr>
              <w:t>Figure 1.13 Breakdown of Pallets for Multiple Containers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8B2AF" w14:textId="10C9F46B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31" w:history="1">
            <w:r w:rsidRPr="008B0F0A">
              <w:rPr>
                <w:rStyle w:val="Hyperlink"/>
                <w:noProof/>
              </w:rPr>
              <w:t>Figure 1.14 Delivery Order with Multiple Parts and Pallets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BAF7B" w14:textId="4C5EE569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32" w:history="1">
            <w:r w:rsidRPr="008B0F0A">
              <w:rPr>
                <w:rStyle w:val="Hyperlink"/>
                <w:noProof/>
              </w:rPr>
              <w:t>Figure 1.15 Two Box Order – no Pallet Required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7C0B4" w14:textId="13E9AC0D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33" w:history="1">
            <w:r w:rsidRPr="008B0F0A">
              <w:rPr>
                <w:rStyle w:val="Hyperlink"/>
                <w:noProof/>
              </w:rPr>
              <w:t>Figure 1.16 Default Pallet Packaging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863A8" w14:textId="1BCDD4E0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34" w:history="1">
            <w:r w:rsidRPr="008B0F0A">
              <w:rPr>
                <w:rStyle w:val="Hyperlink"/>
                <w:noProof/>
              </w:rPr>
              <w:t>Figure 1.17 ‘Loose’ Box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73CDBB" w14:textId="4F8D77C5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35" w:history="1">
            <w:r w:rsidRPr="008B0F0A">
              <w:rPr>
                <w:rStyle w:val="Hyperlink"/>
                <w:noProof/>
              </w:rPr>
              <w:t>Figure 1.18 Shipping Document with ‘Loose’ Boxes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848C7" w14:textId="3B16F815" w:rsidR="0074748F" w:rsidRDefault="0074748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36" w:history="1">
            <w:r w:rsidRPr="008B0F0A">
              <w:rPr>
                <w:rStyle w:val="Hyperlink"/>
                <w:noProof/>
              </w:rPr>
              <w:t>Appendix A Boyum ‘Documents’ – Adding Packaging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CC137" w14:textId="70C465ED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37" w:history="1">
            <w:r w:rsidRPr="008B0F0A">
              <w:rPr>
                <w:rStyle w:val="Hyperlink"/>
                <w:noProof/>
              </w:rPr>
              <w:t>Figure A-1 Delivery Order with Packaging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D1EB7" w14:textId="6606953C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38" w:history="1">
            <w:r w:rsidRPr="008B0F0A">
              <w:rPr>
                <w:rStyle w:val="Hyperlink"/>
                <w:noProof/>
              </w:rPr>
              <w:t>Figure A-2 Packaging Sub-Report Command Line 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0341C" w14:textId="3EFCC5B4" w:rsidR="0074748F" w:rsidRDefault="0074748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2504039" w:history="1">
            <w:r w:rsidRPr="008B0F0A">
              <w:rPr>
                <w:rStyle w:val="Hyperlink"/>
                <w:noProof/>
              </w:rPr>
              <w:t>Figure A-3 Limiting the Package Details to Delivery Orders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_Toc142504039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AAD7D0" w14:textId="593C0A03" w:rsidR="009478EC" w:rsidRDefault="009478EC">
          <w:r>
            <w:rPr>
              <w:b/>
              <w:bCs/>
              <w:noProof/>
            </w:rPr>
            <w:fldChar w:fldCharType="end"/>
          </w:r>
        </w:p>
      </w:sdtContent>
    </w:sdt>
    <w:p w14:paraId="7A64C2B8" w14:textId="068F08EE" w:rsidR="00223F0D" w:rsidRDefault="00223F0D">
      <w:r>
        <w:br w:type="page"/>
      </w:r>
    </w:p>
    <w:p w14:paraId="38565539" w14:textId="569B4792" w:rsidR="00223F0D" w:rsidRDefault="00223F0D" w:rsidP="00223F0D">
      <w:pPr>
        <w:pStyle w:val="Heading1"/>
      </w:pPr>
      <w:bookmarkStart w:id="0" w:name="_Toc142504016"/>
      <w:r>
        <w:lastRenderedPageBreak/>
        <w:t>SAP B1 Units of Measure</w:t>
      </w:r>
      <w:bookmarkEnd w:id="0"/>
    </w:p>
    <w:p w14:paraId="1CBC44DE" w14:textId="77777777" w:rsidR="00223F0D" w:rsidRDefault="00223F0D">
      <w:r>
        <w:t xml:space="preserve">If you access SAP B1 tutorials on units of measure the examples deal with distributors of products.  The ‘paper’ sold in reams, boxes and pallets is their example.  6 packs of soda vs 24 packs of soda are other examples. </w:t>
      </w:r>
    </w:p>
    <w:p w14:paraId="200153C1" w14:textId="36B7ED0C" w:rsidR="00223F0D" w:rsidRDefault="00223F0D">
      <w:r>
        <w:t>Based on my experience here are more likely scenarios in a manufacturing plant:</w:t>
      </w:r>
    </w:p>
    <w:p w14:paraId="3E69D01F" w14:textId="4D521027" w:rsidR="00223F0D" w:rsidRDefault="00223F0D" w:rsidP="00223F0D">
      <w:pPr>
        <w:pStyle w:val="ListParagraph"/>
        <w:numPr>
          <w:ilvl w:val="0"/>
          <w:numId w:val="1"/>
        </w:numPr>
      </w:pPr>
      <w:r>
        <w:t xml:space="preserve">Parts are sold with part specific packaging </w:t>
      </w:r>
    </w:p>
    <w:p w14:paraId="719982DF" w14:textId="36006EE8" w:rsidR="00223F0D" w:rsidRDefault="003A3828" w:rsidP="00223F0D">
      <w:pPr>
        <w:pStyle w:val="ListParagraph"/>
        <w:numPr>
          <w:ilvl w:val="1"/>
          <w:numId w:val="1"/>
        </w:numPr>
      </w:pPr>
      <w:r>
        <w:t>P</w:t>
      </w:r>
      <w:r w:rsidR="00223F0D">
        <w:t>ackaging for an axle assembly for a car or truck – the packaging is designed to fit the part.</w:t>
      </w:r>
    </w:p>
    <w:p w14:paraId="163A3D89" w14:textId="41D3DBA8" w:rsidR="00223F0D" w:rsidRDefault="00223F0D" w:rsidP="00223F0D">
      <w:pPr>
        <w:pStyle w:val="ListParagraph"/>
        <w:numPr>
          <w:ilvl w:val="1"/>
          <w:numId w:val="1"/>
        </w:numPr>
      </w:pPr>
      <w:r>
        <w:t>In many instances the packaging becomes part of the BOM for the part – because that is the only way it is shipped.</w:t>
      </w:r>
    </w:p>
    <w:p w14:paraId="17EE7473" w14:textId="33DEFD1E" w:rsidR="00223F0D" w:rsidRDefault="00223F0D" w:rsidP="00223F0D">
      <w:pPr>
        <w:pStyle w:val="ListParagraph"/>
        <w:numPr>
          <w:ilvl w:val="0"/>
          <w:numId w:val="1"/>
        </w:numPr>
      </w:pPr>
      <w:r>
        <w:t>Parts are placed in standard box sizes, so many pieces to the box</w:t>
      </w:r>
    </w:p>
    <w:p w14:paraId="20B1895A" w14:textId="0D869DE4" w:rsidR="00223F0D" w:rsidRDefault="00223F0D" w:rsidP="00223F0D">
      <w:pPr>
        <w:pStyle w:val="ListParagraph"/>
        <w:numPr>
          <w:ilvl w:val="1"/>
          <w:numId w:val="1"/>
        </w:numPr>
      </w:pPr>
      <w:r>
        <w:t>Most often a plant has a limited number of box sizes – perhaps 8 – 10 sizes to handle the non-designer packaging in the plant</w:t>
      </w:r>
    </w:p>
    <w:p w14:paraId="15C9D4B3" w14:textId="1686DA21" w:rsidR="00223F0D" w:rsidRDefault="00223F0D" w:rsidP="00223F0D">
      <w:pPr>
        <w:pStyle w:val="ListParagraph"/>
        <w:numPr>
          <w:ilvl w:val="0"/>
          <w:numId w:val="1"/>
        </w:numPr>
      </w:pPr>
      <w:r>
        <w:t>In many cases boxes of parts are placed on pallets for shipment</w:t>
      </w:r>
    </w:p>
    <w:p w14:paraId="77E95315" w14:textId="7D401359" w:rsidR="00223F0D" w:rsidRDefault="00223F0D" w:rsidP="00223F0D">
      <w:pPr>
        <w:pStyle w:val="ListParagraph"/>
        <w:numPr>
          <w:ilvl w:val="1"/>
          <w:numId w:val="1"/>
        </w:numPr>
      </w:pPr>
      <w:r>
        <w:t>Certain sized boxes are placed in ‘layers’ on a pallet</w:t>
      </w:r>
    </w:p>
    <w:p w14:paraId="27747707" w14:textId="67ED5F5E" w:rsidR="00F362D9" w:rsidRDefault="00F362D9" w:rsidP="00F362D9">
      <w:pPr>
        <w:pStyle w:val="ListParagraph"/>
        <w:numPr>
          <w:ilvl w:val="0"/>
          <w:numId w:val="1"/>
        </w:numPr>
      </w:pPr>
      <w:r>
        <w:t>Depending on the box size and the weights of parts, only so many ‘layers’ of boxes can be placed on a pallet. This is known in advance and most plants are shipping the same parts on a regular basis.</w:t>
      </w:r>
    </w:p>
    <w:p w14:paraId="2DDDED2D" w14:textId="691B3FCE" w:rsidR="00223F0D" w:rsidRDefault="00223F0D" w:rsidP="00223F0D">
      <w:r>
        <w:t xml:space="preserve">Designer packaging is unique and part of the BOM, so from a shipping managers’ view it is not interesting.  Boxed shipments and pallet shipments are another matter for the shipping department.  </w:t>
      </w:r>
      <w:r w:rsidR="004F3506">
        <w:t xml:space="preserve">What follows is an example of ‘Automotive’ parts that are being sold in varying size boxes and then palletized for shipment.  </w:t>
      </w:r>
      <w:r w:rsidR="00F362D9">
        <w:t xml:space="preserve">The same logic applies to most manufactured parts.  </w:t>
      </w:r>
      <w:r w:rsidR="004F3506">
        <w:t>Here are the steps required</w:t>
      </w:r>
      <w:r w:rsidR="00F362D9">
        <w:t xml:space="preserve"> in SAP Business One</w:t>
      </w:r>
      <w:r w:rsidR="004F3506">
        <w:t>:</w:t>
      </w:r>
    </w:p>
    <w:p w14:paraId="45B37CEA" w14:textId="7F9FBFF9" w:rsidR="004F3506" w:rsidRDefault="004F3506" w:rsidP="004F3506">
      <w:pPr>
        <w:pStyle w:val="ListParagraph"/>
        <w:numPr>
          <w:ilvl w:val="0"/>
          <w:numId w:val="2"/>
        </w:numPr>
      </w:pPr>
      <w:r>
        <w:t xml:space="preserve">In the units of measure setup form, enter these units of measure codes. (Administration </w:t>
      </w:r>
      <w:r>
        <w:sym w:font="Wingdings" w:char="F0E0"/>
      </w:r>
      <w:r>
        <w:t xml:space="preserve"> Setup –&gt; Inventory </w:t>
      </w:r>
      <w:r>
        <w:sym w:font="Wingdings" w:char="F0E0"/>
      </w:r>
      <w:r>
        <w:t xml:space="preserve"> Units of measure). Figure 1.1 shows the units of measure setups.</w:t>
      </w:r>
    </w:p>
    <w:p w14:paraId="69D6B0DF" w14:textId="49EA4FDE" w:rsidR="004F3506" w:rsidRDefault="004F3506" w:rsidP="004F3506">
      <w:pPr>
        <w:pStyle w:val="ListParagraph"/>
        <w:numPr>
          <w:ilvl w:val="1"/>
          <w:numId w:val="2"/>
        </w:numPr>
      </w:pPr>
      <w:r>
        <w:t>Define the boxes used for shipments.  In my example I have 4 different sized boxes.  Depending on the parts, differing quantities can be packaged in the box.  I have called these BOX1</w:t>
      </w:r>
      <w:r w:rsidR="00CA45EB">
        <w:t>_12</w:t>
      </w:r>
      <w:r>
        <w:t>,</w:t>
      </w:r>
      <w:r w:rsidR="00CA45EB">
        <w:t xml:space="preserve"> BOX1_20,</w:t>
      </w:r>
      <w:r>
        <w:t xml:space="preserve"> </w:t>
      </w:r>
      <w:r w:rsidR="00CA45EB">
        <w:t>BOX1_24,</w:t>
      </w:r>
      <w:r w:rsidR="003A3828">
        <w:t xml:space="preserve"> </w:t>
      </w:r>
      <w:r>
        <w:t>BOX2</w:t>
      </w:r>
      <w:r w:rsidR="00CA45EB">
        <w:t>_10</w:t>
      </w:r>
      <w:r>
        <w:t>, BOX3</w:t>
      </w:r>
      <w:r w:rsidR="00CA45EB">
        <w:t>_40</w:t>
      </w:r>
      <w:r>
        <w:t xml:space="preserve"> and BOX4</w:t>
      </w:r>
      <w:r w:rsidR="00CA45EB">
        <w:t>_10</w:t>
      </w:r>
      <w:r>
        <w:t>.  Not real clever, but practical.</w:t>
      </w:r>
    </w:p>
    <w:p w14:paraId="4AFEBC38" w14:textId="5BDDC2C9" w:rsidR="004F3506" w:rsidRDefault="004F3506" w:rsidP="00223F0D">
      <w:pPr>
        <w:pStyle w:val="ListParagraph"/>
        <w:numPr>
          <w:ilvl w:val="0"/>
          <w:numId w:val="2"/>
        </w:numPr>
      </w:pPr>
      <w:r>
        <w:t xml:space="preserve"> Note that in Figure 1.1 I never explicitly define BOX1, BOX2, etc.  What I do is define 3 BOX1 units of measure, naming them BOX1_12, BOX1_20 and BOX1_24.  You will see why I do this in a few minutes.</w:t>
      </w:r>
    </w:p>
    <w:p w14:paraId="1B187EF0" w14:textId="67CED225" w:rsidR="008A4B00" w:rsidRDefault="008A4B00" w:rsidP="00223F0D">
      <w:pPr>
        <w:pStyle w:val="ListParagraph"/>
        <w:numPr>
          <w:ilvl w:val="0"/>
          <w:numId w:val="2"/>
        </w:numPr>
      </w:pPr>
      <w:r>
        <w:t xml:space="preserve">A units of measure group is required for production items that will be sold to customers.  This is accessed from Administration </w:t>
      </w:r>
      <w:r>
        <w:sym w:font="Wingdings" w:char="F0E0"/>
      </w:r>
      <w:r>
        <w:t xml:space="preserve"> Setup –&gt; Inventory </w:t>
      </w:r>
      <w:r>
        <w:sym w:font="Wingdings" w:char="F0E0"/>
      </w:r>
      <w:r>
        <w:t xml:space="preserve"> Units of measure groups.  I defined one new group ‘Production’.  When I highlight the ‘Production’ unit of measure group and then click the group definition button, Figure 1.</w:t>
      </w:r>
      <w:r w:rsidR="003A3828">
        <w:t>3</w:t>
      </w:r>
      <w:r>
        <w:t xml:space="preserve"> displays the form.</w:t>
      </w:r>
      <w:r w:rsidR="00CA45EB">
        <w:t xml:space="preserve">  You can see how I have used the ‘_</w:t>
      </w:r>
      <w:proofErr w:type="spellStart"/>
      <w:r w:rsidR="00CA45EB">
        <w:t>nn</w:t>
      </w:r>
      <w:proofErr w:type="spellEnd"/>
      <w:r w:rsidR="00CA45EB">
        <w:t>’ number to indicate the base quantity.  For instance, BOX1_20 has a base quantity of 20.</w:t>
      </w:r>
    </w:p>
    <w:p w14:paraId="4DB6ACD0" w14:textId="250A0EE4" w:rsidR="008A4B00" w:rsidRDefault="008A4B00" w:rsidP="00223F0D">
      <w:pPr>
        <w:pStyle w:val="ListParagraph"/>
        <w:numPr>
          <w:ilvl w:val="0"/>
          <w:numId w:val="2"/>
        </w:numPr>
      </w:pPr>
      <w:r>
        <w:t>Inventory of the production parts being sold is in ‘EACH’ (in my example).  Referring to Figure 1.</w:t>
      </w:r>
      <w:r w:rsidR="003A3828">
        <w:t>3</w:t>
      </w:r>
      <w:r>
        <w:t>, the ‘Each’ unit of measure has a base quantity of 1 – it is the ‘Base UoM’.</w:t>
      </w:r>
    </w:p>
    <w:p w14:paraId="44B7AEA5" w14:textId="7DB1E24E" w:rsidR="003A3828" w:rsidRDefault="003A3828" w:rsidP="003A3828">
      <w:pPr>
        <w:pStyle w:val="ListParagraph"/>
        <w:numPr>
          <w:ilvl w:val="1"/>
          <w:numId w:val="2"/>
        </w:numPr>
      </w:pPr>
      <w:r>
        <w:t>Define the pallet(s) used for shipments.</w:t>
      </w:r>
    </w:p>
    <w:p w14:paraId="1865A5FE" w14:textId="45ADA43D" w:rsidR="008A4B00" w:rsidRDefault="008A4B00" w:rsidP="008A4B00">
      <w:pPr>
        <w:pStyle w:val="ListParagraph"/>
        <w:numPr>
          <w:ilvl w:val="1"/>
          <w:numId w:val="2"/>
        </w:numPr>
      </w:pPr>
      <w:r>
        <w:lastRenderedPageBreak/>
        <w:t>Then I define each of the boxes previously defined in Figure 1.1 – with the ‘each’ quantity contained within the Box.  For instance, BOX1_20 shows the base quantity as 20 ‘Each’.</w:t>
      </w:r>
    </w:p>
    <w:p w14:paraId="2C43C79E" w14:textId="45AA7436" w:rsidR="003A3828" w:rsidRDefault="003A3828" w:rsidP="003A3828">
      <w:pPr>
        <w:pStyle w:val="ListParagraph"/>
        <w:numPr>
          <w:ilvl w:val="0"/>
          <w:numId w:val="2"/>
        </w:numPr>
      </w:pPr>
      <w:r>
        <w:t xml:space="preserve">I defined one 6 </w:t>
      </w:r>
      <w:proofErr w:type="gramStart"/>
      <w:r>
        <w:t>foot</w:t>
      </w:r>
      <w:proofErr w:type="gramEnd"/>
      <w:r>
        <w:t xml:space="preserve"> by 4 foot wooden pallet.  This is defined in SAP B1 under: Administration </w:t>
      </w:r>
      <w:r>
        <w:sym w:font="Wingdings" w:char="F0E0"/>
      </w:r>
      <w:r>
        <w:t xml:space="preserve"> Setup –&gt; Inventory </w:t>
      </w:r>
      <w:r>
        <w:sym w:font="Wingdings" w:char="F0E0"/>
      </w:r>
      <w:r>
        <w:t xml:space="preserve"> Packaging. See Figure 1.2.</w:t>
      </w:r>
    </w:p>
    <w:p w14:paraId="6468903D" w14:textId="671D284E" w:rsidR="008A4B00" w:rsidRDefault="008A4B00" w:rsidP="008A4B00"/>
    <w:p w14:paraId="18CBB702" w14:textId="793AAA1B" w:rsidR="004F3506" w:rsidRDefault="004F3506" w:rsidP="004F3506">
      <w:pPr>
        <w:jc w:val="center"/>
      </w:pPr>
      <w:r>
        <w:rPr>
          <w:noProof/>
        </w:rPr>
        <w:drawing>
          <wp:inline distT="0" distB="0" distL="0" distR="0" wp14:anchorId="5A9CC372" wp14:editId="7428A68C">
            <wp:extent cx="4467225" cy="2643585"/>
            <wp:effectExtent l="0" t="0" r="0" b="4445"/>
            <wp:docPr id="1924679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6796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9249" cy="265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6D8D4" w14:textId="5B3202C0" w:rsidR="004F3506" w:rsidRDefault="004F3506" w:rsidP="004F3506">
      <w:pPr>
        <w:pStyle w:val="Heading2"/>
        <w:jc w:val="center"/>
      </w:pPr>
      <w:bookmarkStart w:id="1" w:name="_Toc142504017"/>
      <w:r>
        <w:t>Figure 1.1 Units of Measure Setup</w:t>
      </w:r>
      <w:bookmarkEnd w:id="1"/>
    </w:p>
    <w:p w14:paraId="2D51683B" w14:textId="77777777" w:rsidR="004F3506" w:rsidRDefault="004F3506" w:rsidP="004F3506"/>
    <w:p w14:paraId="5292A6A5" w14:textId="7BCD4C8F" w:rsidR="003A3828" w:rsidRDefault="003A3828" w:rsidP="003A3828">
      <w:pPr>
        <w:jc w:val="center"/>
      </w:pPr>
      <w:r>
        <w:rPr>
          <w:noProof/>
        </w:rPr>
        <w:drawing>
          <wp:inline distT="0" distB="0" distL="0" distR="0" wp14:anchorId="0DFF01D6" wp14:editId="4FC2DF99">
            <wp:extent cx="4295775" cy="2138250"/>
            <wp:effectExtent l="0" t="0" r="0" b="0"/>
            <wp:docPr id="803902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9025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8525" cy="214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F8323" w14:textId="2E33BCC8" w:rsidR="003A3828" w:rsidRDefault="003A3828" w:rsidP="003A3828">
      <w:pPr>
        <w:pStyle w:val="Heading2"/>
        <w:jc w:val="center"/>
      </w:pPr>
      <w:bookmarkStart w:id="2" w:name="_Toc142504018"/>
      <w:r>
        <w:t>Figure 1.2 Packaging – Pallet Setup</w:t>
      </w:r>
      <w:bookmarkEnd w:id="2"/>
    </w:p>
    <w:p w14:paraId="27C5D1D6" w14:textId="77777777" w:rsidR="003A3828" w:rsidRPr="003A3828" w:rsidRDefault="003A3828" w:rsidP="003A3828"/>
    <w:p w14:paraId="3648E6B4" w14:textId="6DB5BB25" w:rsidR="008A4B00" w:rsidRDefault="008A4B00" w:rsidP="008A4B00">
      <w:pPr>
        <w:jc w:val="center"/>
      </w:pPr>
      <w:r>
        <w:rPr>
          <w:noProof/>
        </w:rPr>
        <w:lastRenderedPageBreak/>
        <w:drawing>
          <wp:inline distT="0" distB="0" distL="0" distR="0" wp14:anchorId="6FD96E0E" wp14:editId="433C3C1E">
            <wp:extent cx="5347768" cy="5827468"/>
            <wp:effectExtent l="0" t="0" r="0" b="0"/>
            <wp:docPr id="1328698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6986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111" cy="583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A4C4C" w14:textId="116F9270" w:rsidR="008A4B00" w:rsidRDefault="008A4B00" w:rsidP="008A4B00">
      <w:pPr>
        <w:pStyle w:val="Heading2"/>
        <w:jc w:val="center"/>
      </w:pPr>
      <w:bookmarkStart w:id="3" w:name="_Toc142504019"/>
      <w:r>
        <w:t>Figure 1.</w:t>
      </w:r>
      <w:r w:rsidR="003A3828">
        <w:t>3</w:t>
      </w:r>
      <w:r>
        <w:t xml:space="preserve"> Unit of Measure Group Definition</w:t>
      </w:r>
      <w:bookmarkEnd w:id="3"/>
    </w:p>
    <w:p w14:paraId="6F0A2AE6" w14:textId="77777777" w:rsidR="008A4B00" w:rsidRDefault="008A4B00" w:rsidP="004F3506"/>
    <w:p w14:paraId="3CCA1C82" w14:textId="7BA11DB3" w:rsidR="00A95790" w:rsidRDefault="00F362D9" w:rsidP="00A95790">
      <w:r>
        <w:t xml:space="preserve">More setup is required in the item master form for each part that you ship to customers. </w:t>
      </w:r>
      <w:r w:rsidR="008A4B00">
        <w:t xml:space="preserve">In the part master for the parts produced and sold, I have set up the ‘UoM Group’ as the ‘Production’ group.  </w:t>
      </w:r>
      <w:r w:rsidR="00CA45EB">
        <w:t>I have displayed the part ‘Auto1’ in Figure 1.</w:t>
      </w:r>
      <w:r w:rsidR="003A3828">
        <w:t>4</w:t>
      </w:r>
      <w:r w:rsidR="00CA45EB">
        <w:t xml:space="preserve">.  </w:t>
      </w:r>
      <w:r w:rsidR="00CA45EB" w:rsidRPr="00F362D9">
        <w:rPr>
          <w:b/>
          <w:bCs/>
        </w:rPr>
        <w:t>Note</w:t>
      </w:r>
      <w:r w:rsidR="00CA45EB">
        <w:t>: the sales UoM Code is ‘BOX1_20’ and the items per sales unit is 20 Each.  The Package type is ‘</w:t>
      </w:r>
      <w:proofErr w:type="spellStart"/>
      <w:r w:rsidR="00CA45EB">
        <w:t>WoodPallet</w:t>
      </w:r>
      <w:proofErr w:type="spellEnd"/>
      <w:r w:rsidR="00CA45EB">
        <w:t>’ and it has a quantity of 24 boxes on the pallet.  Looking back at the BOX1 definition in Figure 1.1, the box length – width is 18 inches by 18 inches</w:t>
      </w:r>
      <w:r>
        <w:t xml:space="preserve"> (regardless of the actual BOX1 definition – </w:t>
      </w:r>
      <w:proofErr w:type="gramStart"/>
      <w:r>
        <w:t>i.e.</w:t>
      </w:r>
      <w:proofErr w:type="gramEnd"/>
      <w:r>
        <w:t xml:space="preserve"> BOX1_24 has these dimensions and so does BOX1_20</w:t>
      </w:r>
      <w:r w:rsidR="00CA45EB">
        <w:t xml:space="preserve">.  The pallet is 6 feet by 4 feet.  This means that each ‘layer’ of boxes on the pallet are 2 wide by 4 long.  2 wide is 36 inches or 3 feet – which fits comfortably on a </w:t>
      </w:r>
      <w:r w:rsidR="00A95790">
        <w:t xml:space="preserve">pallet </w:t>
      </w:r>
      <w:r w:rsidR="00CA45EB">
        <w:t xml:space="preserve">4 foot wide.  The </w:t>
      </w:r>
      <w:r>
        <w:t xml:space="preserve">length of 4 </w:t>
      </w:r>
      <w:r w:rsidR="00CA45EB">
        <w:t xml:space="preserve">boxes is 6 feet (4 x 18 inches / 12).  So that fits on a pallet as well.  Since the pallet has 24 boxes, and each layer consists of 8 </w:t>
      </w:r>
      <w:r w:rsidR="00CA45EB">
        <w:lastRenderedPageBreak/>
        <w:t>boxes, then there are 3 layers of boxes.</w:t>
      </w:r>
      <w:r w:rsidR="00A95790" w:rsidRPr="00A95790">
        <w:t xml:space="preserve"> </w:t>
      </w:r>
      <w:r w:rsidR="00A95790">
        <w:t>If the ellipsis next to the ‘BOX1_20 is clicked, the form shown in Figure 1.</w:t>
      </w:r>
      <w:r w:rsidR="00F21302">
        <w:t>5</w:t>
      </w:r>
      <w:r w:rsidR="00A95790">
        <w:t xml:space="preserve"> displays.</w:t>
      </w:r>
    </w:p>
    <w:p w14:paraId="6009DDE7" w14:textId="3121EDC3" w:rsidR="00CA45EB" w:rsidRDefault="00CA45EB" w:rsidP="00CA45EB">
      <w:pPr>
        <w:jc w:val="center"/>
      </w:pPr>
      <w:r>
        <w:rPr>
          <w:noProof/>
        </w:rPr>
        <w:drawing>
          <wp:inline distT="0" distB="0" distL="0" distR="0" wp14:anchorId="7DAB25D5" wp14:editId="241270A8">
            <wp:extent cx="4550484" cy="3775541"/>
            <wp:effectExtent l="0" t="0" r="2540" b="0"/>
            <wp:docPr id="1397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601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0282" cy="378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1B3CD" w14:textId="6913365A" w:rsidR="00CA45EB" w:rsidRDefault="00CA45EB" w:rsidP="00CA45EB">
      <w:pPr>
        <w:pStyle w:val="Heading2"/>
        <w:jc w:val="center"/>
      </w:pPr>
      <w:bookmarkStart w:id="4" w:name="_Toc142504020"/>
      <w:r>
        <w:t>Figure 1.</w:t>
      </w:r>
      <w:r w:rsidR="003A3828">
        <w:t>4</w:t>
      </w:r>
      <w:r>
        <w:t xml:space="preserve"> Part Using BOX1 with 20 Pieces in the Box</w:t>
      </w:r>
      <w:bookmarkEnd w:id="4"/>
    </w:p>
    <w:p w14:paraId="3F116679" w14:textId="77777777" w:rsidR="00CA45EB" w:rsidRDefault="00CA45EB" w:rsidP="004F3506"/>
    <w:p w14:paraId="545E2A99" w14:textId="1F07E4CF" w:rsidR="00A95790" w:rsidRDefault="00A95790" w:rsidP="00A95790">
      <w:pPr>
        <w:jc w:val="center"/>
      </w:pPr>
      <w:r>
        <w:rPr>
          <w:noProof/>
        </w:rPr>
        <w:drawing>
          <wp:inline distT="0" distB="0" distL="0" distR="0" wp14:anchorId="0CE18AE1" wp14:editId="47A155E8">
            <wp:extent cx="4582758" cy="2806939"/>
            <wp:effectExtent l="0" t="0" r="0" b="0"/>
            <wp:docPr id="327174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7459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3405" cy="281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A416F" w14:textId="06C2AC76" w:rsidR="00A95790" w:rsidRDefault="00A95790" w:rsidP="00A95790">
      <w:pPr>
        <w:pStyle w:val="Heading2"/>
        <w:jc w:val="center"/>
      </w:pPr>
      <w:bookmarkStart w:id="5" w:name="_Toc142504021"/>
      <w:r>
        <w:t>Figure 1.</w:t>
      </w:r>
      <w:r w:rsidR="00F21302">
        <w:t>5</w:t>
      </w:r>
      <w:r>
        <w:t xml:space="preserve"> Sales UoM and Package Types for a Specific Item</w:t>
      </w:r>
      <w:bookmarkEnd w:id="5"/>
    </w:p>
    <w:p w14:paraId="6CF41B9E" w14:textId="77777777" w:rsidR="00A95790" w:rsidRDefault="00A95790" w:rsidP="004F3506"/>
    <w:p w14:paraId="5291CAAC" w14:textId="56700604" w:rsidR="00A95790" w:rsidRDefault="00A95790" w:rsidP="004F3506">
      <w:r>
        <w:lastRenderedPageBreak/>
        <w:t>A second part is set up that uses Box2.  This is shown in Figure 1.</w:t>
      </w:r>
      <w:r w:rsidR="00F21302">
        <w:t>6</w:t>
      </w:r>
      <w:r>
        <w:t>.</w:t>
      </w:r>
    </w:p>
    <w:p w14:paraId="5962AE37" w14:textId="160B56BA" w:rsidR="00A95790" w:rsidRDefault="00A95790" w:rsidP="00A95790">
      <w:pPr>
        <w:jc w:val="center"/>
      </w:pPr>
      <w:r>
        <w:rPr>
          <w:noProof/>
        </w:rPr>
        <w:drawing>
          <wp:inline distT="0" distB="0" distL="0" distR="0" wp14:anchorId="4C0AD4DE" wp14:editId="03EE24CF">
            <wp:extent cx="5066852" cy="4203971"/>
            <wp:effectExtent l="0" t="0" r="0" b="0"/>
            <wp:docPr id="2143068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06865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2767" cy="420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D1590" w14:textId="7ACB87C7" w:rsidR="00A95790" w:rsidRDefault="00A95790" w:rsidP="00A95790">
      <w:pPr>
        <w:pStyle w:val="Heading2"/>
        <w:jc w:val="center"/>
      </w:pPr>
      <w:bookmarkStart w:id="6" w:name="_Toc142504022"/>
      <w:r>
        <w:t>Figure 1.</w:t>
      </w:r>
      <w:r w:rsidR="00F21302">
        <w:t>6</w:t>
      </w:r>
      <w:r>
        <w:t xml:space="preserve"> Second Part Setup – Quantity 10 per box, 16 Boxes / Pallet</w:t>
      </w:r>
      <w:bookmarkEnd w:id="6"/>
    </w:p>
    <w:p w14:paraId="1C388CF5" w14:textId="77777777" w:rsidR="00A95790" w:rsidRDefault="00A95790" w:rsidP="004F3506"/>
    <w:p w14:paraId="37577802" w14:textId="4BE7D65F" w:rsidR="00A95790" w:rsidRDefault="00A95790" w:rsidP="004F3506">
      <w:r>
        <w:t>This second part has 4 boxes per layer and layers of boxes on a pallet</w:t>
      </w:r>
      <w:r w:rsidR="009478EC">
        <w:t xml:space="preserve"> – for a total of 16 boxes</w:t>
      </w:r>
      <w:r>
        <w:t xml:space="preserve">.  </w:t>
      </w:r>
    </w:p>
    <w:p w14:paraId="65298BFB" w14:textId="37BD00A1" w:rsidR="00A95790" w:rsidRDefault="00082735" w:rsidP="004F3506">
      <w:r>
        <w:t>The pricing for the parts can be defined for the ‘Each’ quantity and for the ‘Box’ quantity.  Figure 1.</w:t>
      </w:r>
      <w:r w:rsidR="00F21302">
        <w:t>7</w:t>
      </w:r>
      <w:r>
        <w:t xml:space="preserve"> shows the pricing for the 2</w:t>
      </w:r>
      <w:r w:rsidRPr="00082735">
        <w:rPr>
          <w:vertAlign w:val="superscript"/>
        </w:rPr>
        <w:t>nd</w:t>
      </w:r>
      <w:r>
        <w:t xml:space="preserve"> part.  Most manufacturing plants do not ship parts in less than box quantities, so there is no discount associated with a box of parts – that’s just the price.</w:t>
      </w:r>
    </w:p>
    <w:p w14:paraId="20A400A4" w14:textId="61B874B6" w:rsidR="00082735" w:rsidRDefault="00082735" w:rsidP="00082735">
      <w:pPr>
        <w:jc w:val="center"/>
      </w:pPr>
      <w:r>
        <w:rPr>
          <w:noProof/>
        </w:rPr>
        <w:lastRenderedPageBreak/>
        <w:drawing>
          <wp:inline distT="0" distB="0" distL="0" distR="0" wp14:anchorId="7C6241DB" wp14:editId="0B6A806B">
            <wp:extent cx="3565723" cy="2266950"/>
            <wp:effectExtent l="0" t="0" r="0" b="0"/>
            <wp:docPr id="18123985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39858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8728" cy="228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245F6" w14:textId="40570235" w:rsidR="00082735" w:rsidRDefault="00082735" w:rsidP="00082735">
      <w:pPr>
        <w:pStyle w:val="Heading2"/>
        <w:jc w:val="center"/>
      </w:pPr>
      <w:bookmarkStart w:id="7" w:name="_Toc142504023"/>
      <w:r>
        <w:t>Figure 1.</w:t>
      </w:r>
      <w:r w:rsidR="00F21302">
        <w:t>7</w:t>
      </w:r>
      <w:r>
        <w:t xml:space="preserve"> Pricing by UoM</w:t>
      </w:r>
      <w:bookmarkEnd w:id="7"/>
    </w:p>
    <w:p w14:paraId="02E258B4" w14:textId="77777777" w:rsidR="00082735" w:rsidRDefault="00082735" w:rsidP="004F3506"/>
    <w:p w14:paraId="4CFD2E96" w14:textId="53C6E2E5" w:rsidR="00082735" w:rsidRDefault="00082735" w:rsidP="00082735">
      <w:pPr>
        <w:pStyle w:val="Heading2"/>
      </w:pPr>
      <w:bookmarkStart w:id="8" w:name="_Toc142504024"/>
      <w:r>
        <w:t xml:space="preserve">Processing an Order </w:t>
      </w:r>
      <w:r w:rsidR="009478EC">
        <w:t xml:space="preserve">Using </w:t>
      </w:r>
      <w:r>
        <w:t>Box Quantities</w:t>
      </w:r>
      <w:bookmarkEnd w:id="8"/>
    </w:p>
    <w:p w14:paraId="543C3A59" w14:textId="550503BC" w:rsidR="00082735" w:rsidRDefault="00CE1CAD" w:rsidP="004F3506">
      <w:r>
        <w:t>A simple one item sales order is shown in Figure 1.</w:t>
      </w:r>
      <w:r w:rsidR="00F21302">
        <w:t>8</w:t>
      </w:r>
      <w:r>
        <w:t>.  The item quantity sold is 24 of BOX1_20 – meaning 480 pieces of the item are being sold.  The price is $44.00 per box ($2.20 / Each).  Okay that is simple enough, let’s ship this using a delivery order by copying the sales order to a delivery order</w:t>
      </w:r>
      <w:r w:rsidR="00F21302">
        <w:t xml:space="preserve"> – Figure 1.9</w:t>
      </w:r>
      <w:r>
        <w:t>.  There is nothing special about this on the main delivery order screen.  If we ‘Right click’ and select ‘Packing Slip’, the packaging is already pre-defined for us.  Refer to Figure 1.</w:t>
      </w:r>
      <w:r w:rsidR="00F21302">
        <w:t>10</w:t>
      </w:r>
      <w:r>
        <w:t>.</w:t>
      </w:r>
    </w:p>
    <w:p w14:paraId="2CB9AA09" w14:textId="7B2F5D3B" w:rsidR="00F21302" w:rsidRDefault="00F21302" w:rsidP="00F21302">
      <w:pPr>
        <w:jc w:val="center"/>
      </w:pPr>
      <w:r>
        <w:rPr>
          <w:noProof/>
        </w:rPr>
        <w:drawing>
          <wp:inline distT="0" distB="0" distL="0" distR="0" wp14:anchorId="631887AF" wp14:editId="6A0E8135">
            <wp:extent cx="4719918" cy="3514725"/>
            <wp:effectExtent l="0" t="0" r="5080" b="0"/>
            <wp:docPr id="2127352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35261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40657" cy="353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B606C" w14:textId="12E9DE42" w:rsidR="00F21302" w:rsidRDefault="00F21302" w:rsidP="00F21302">
      <w:pPr>
        <w:pStyle w:val="Heading2"/>
        <w:jc w:val="center"/>
      </w:pPr>
      <w:bookmarkStart w:id="9" w:name="_Toc142504025"/>
      <w:r>
        <w:t>Figure 1.8 Sales Order – Single Item</w:t>
      </w:r>
      <w:bookmarkEnd w:id="9"/>
    </w:p>
    <w:p w14:paraId="0356C99D" w14:textId="77777777" w:rsidR="00F21302" w:rsidRPr="00F21302" w:rsidRDefault="00F21302" w:rsidP="00F21302"/>
    <w:p w14:paraId="73C35FF8" w14:textId="28D593FB" w:rsidR="00F21302" w:rsidRDefault="00F21302" w:rsidP="00F21302">
      <w:pPr>
        <w:jc w:val="center"/>
      </w:pPr>
      <w:r>
        <w:rPr>
          <w:noProof/>
        </w:rPr>
        <w:lastRenderedPageBreak/>
        <w:drawing>
          <wp:inline distT="0" distB="0" distL="0" distR="0" wp14:anchorId="249ADDA6" wp14:editId="58B5F5D4">
            <wp:extent cx="4838700" cy="3354522"/>
            <wp:effectExtent l="0" t="0" r="0" b="0"/>
            <wp:docPr id="1140667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66780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40629" cy="335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E386D" w14:textId="376154B2" w:rsidR="00F21302" w:rsidRDefault="00F21302" w:rsidP="00F21302">
      <w:pPr>
        <w:pStyle w:val="Heading2"/>
        <w:jc w:val="center"/>
      </w:pPr>
      <w:bookmarkStart w:id="10" w:name="_Toc142504026"/>
      <w:r>
        <w:t>Figure 1.9 Delivery Order – Single Item</w:t>
      </w:r>
      <w:bookmarkEnd w:id="10"/>
    </w:p>
    <w:p w14:paraId="42202C95" w14:textId="77777777" w:rsidR="00F21302" w:rsidRPr="00F21302" w:rsidRDefault="00F21302" w:rsidP="00F21302"/>
    <w:p w14:paraId="03195DBA" w14:textId="7008F4F4" w:rsidR="00CE1CAD" w:rsidRDefault="00CE1CAD" w:rsidP="00CE1CAD">
      <w:pPr>
        <w:jc w:val="center"/>
      </w:pPr>
      <w:r>
        <w:rPr>
          <w:noProof/>
        </w:rPr>
        <w:drawing>
          <wp:inline distT="0" distB="0" distL="0" distR="0" wp14:anchorId="22AA1D78" wp14:editId="0F6B81A5">
            <wp:extent cx="5529431" cy="2294478"/>
            <wp:effectExtent l="0" t="0" r="0" b="0"/>
            <wp:docPr id="29451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108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4379" cy="229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82544" w14:textId="6A3576CD" w:rsidR="00CE1CAD" w:rsidRDefault="00CE1CAD" w:rsidP="00CE1CAD">
      <w:pPr>
        <w:pStyle w:val="Heading2"/>
        <w:jc w:val="center"/>
      </w:pPr>
      <w:bookmarkStart w:id="11" w:name="_Toc142504027"/>
      <w:r>
        <w:t>Figure 1.</w:t>
      </w:r>
      <w:r w:rsidR="00F21302">
        <w:t>10</w:t>
      </w:r>
      <w:r>
        <w:t xml:space="preserve"> Auto Definition of Packaging</w:t>
      </w:r>
      <w:bookmarkEnd w:id="11"/>
    </w:p>
    <w:p w14:paraId="2ADCFE64" w14:textId="77777777" w:rsidR="00CE1CAD" w:rsidRDefault="00CE1CAD" w:rsidP="004F3506"/>
    <w:p w14:paraId="3FC4EE51" w14:textId="100AA251" w:rsidR="00CE1CAD" w:rsidRDefault="00CE1CAD" w:rsidP="004F3506">
      <w:r>
        <w:t xml:space="preserve">The math is all correct – and we didn’t need to do any of it!  </w:t>
      </w:r>
      <w:r w:rsidRPr="009478EC">
        <w:rPr>
          <w:b/>
          <w:bCs/>
        </w:rPr>
        <w:t>Note</w:t>
      </w:r>
      <w:r>
        <w:t>: the weight of the part ‘Auto1’ is 0.85 pounds and 480 x 0.85 = 408 pounds as shown.</w:t>
      </w:r>
    </w:p>
    <w:p w14:paraId="74C6AA40" w14:textId="3A3C1DF2" w:rsidR="00CE1CAD" w:rsidRDefault="00CE1CAD" w:rsidP="004F3506">
      <w:r>
        <w:t xml:space="preserve">If we use the standard Boyum delivery order form as modified by </w:t>
      </w:r>
      <w:proofErr w:type="spellStart"/>
      <w:r>
        <w:t>Mascidon</w:t>
      </w:r>
      <w:proofErr w:type="spellEnd"/>
      <w:r>
        <w:t>, the full impact of the packaging is revealed.</w:t>
      </w:r>
      <w:r w:rsidR="009C346B">
        <w:t xml:space="preserve"> Refer to Figure 1.11.</w:t>
      </w:r>
    </w:p>
    <w:p w14:paraId="396BF6C0" w14:textId="06DB31EA" w:rsidR="00CE1CAD" w:rsidRDefault="00DC1332" w:rsidP="004F3506">
      <w:r>
        <w:rPr>
          <w:noProof/>
        </w:rPr>
        <w:lastRenderedPageBreak/>
        <w:drawing>
          <wp:inline distT="0" distB="0" distL="0" distR="0" wp14:anchorId="2216959B" wp14:editId="0A9C0743">
            <wp:extent cx="5943600" cy="5228590"/>
            <wp:effectExtent l="0" t="0" r="0" b="0"/>
            <wp:docPr id="816166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16640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2C904" w14:textId="10E75F04" w:rsidR="00DC1332" w:rsidRDefault="00DC1332" w:rsidP="00DC1332">
      <w:pPr>
        <w:pStyle w:val="Heading2"/>
        <w:jc w:val="center"/>
      </w:pPr>
      <w:bookmarkStart w:id="12" w:name="_Toc142504028"/>
      <w:r>
        <w:t>Figure 1.</w:t>
      </w:r>
      <w:r w:rsidR="009C346B">
        <w:t>11</w:t>
      </w:r>
      <w:r>
        <w:t xml:space="preserve"> Delivery Order Printed Document</w:t>
      </w:r>
      <w:bookmarkEnd w:id="12"/>
    </w:p>
    <w:p w14:paraId="4B7DA834" w14:textId="77777777" w:rsidR="00DC1332" w:rsidRDefault="00DC1332" w:rsidP="004F3506"/>
    <w:p w14:paraId="2BB823FD" w14:textId="69462706" w:rsidR="00CE1CAD" w:rsidRDefault="00DC1332" w:rsidP="004F3506">
      <w:r>
        <w:t xml:space="preserve">All of the packaging information is shown – 1 pallet weighing 25 pounds.  Then 24 box containers weighing 0.5 pounds each – for 12 pounds.  Then of course the part weight itself – 408 pounds.  </w:t>
      </w:r>
    </w:p>
    <w:p w14:paraId="2DF92271" w14:textId="1C28A31D" w:rsidR="00DC1332" w:rsidRDefault="00DC1332" w:rsidP="004F3506">
      <w:r>
        <w:t>A second example with 2 parts – one requiring a full pallet and one part requiring over 1 pallet is shown.  Refer to Figure 1.</w:t>
      </w:r>
      <w:r w:rsidR="009C346B">
        <w:t>12</w:t>
      </w:r>
      <w:r>
        <w:t xml:space="preserve"> for the sales order.</w:t>
      </w:r>
    </w:p>
    <w:p w14:paraId="74B5AE54" w14:textId="2B7D52DE" w:rsidR="00DC1332" w:rsidRDefault="00DC1332" w:rsidP="00DC1332">
      <w:pPr>
        <w:jc w:val="center"/>
      </w:pPr>
      <w:r>
        <w:rPr>
          <w:noProof/>
        </w:rPr>
        <w:lastRenderedPageBreak/>
        <w:drawing>
          <wp:inline distT="0" distB="0" distL="0" distR="0" wp14:anchorId="01E0EB6A" wp14:editId="71BCFD28">
            <wp:extent cx="5099125" cy="3797105"/>
            <wp:effectExtent l="0" t="0" r="0" b="0"/>
            <wp:docPr id="1848353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3532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03546" cy="380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58394" w14:textId="4AAEB186" w:rsidR="00DC1332" w:rsidRDefault="00DC1332" w:rsidP="00DC1332">
      <w:pPr>
        <w:pStyle w:val="Heading2"/>
        <w:jc w:val="center"/>
      </w:pPr>
      <w:bookmarkStart w:id="13" w:name="_Toc142504029"/>
      <w:r>
        <w:t>Figure 1.</w:t>
      </w:r>
      <w:r w:rsidR="009C346B">
        <w:t>12</w:t>
      </w:r>
      <w:r>
        <w:t xml:space="preserve"> Sales Order with 2 Parts with Box – Pallet Definitions</w:t>
      </w:r>
      <w:bookmarkEnd w:id="13"/>
    </w:p>
    <w:p w14:paraId="340D8B8F" w14:textId="77777777" w:rsidR="00DC1332" w:rsidRDefault="00DC1332" w:rsidP="00DC1332"/>
    <w:p w14:paraId="34FE9C4E" w14:textId="489BDFAC" w:rsidR="009478EC" w:rsidRDefault="009478EC" w:rsidP="00DC1332">
      <w:r>
        <w:t>The first part ‘Auto1’ has 24 boxes on a pallet, so a 36-box sale will require one and a half pallets.  The second part ‘Auto2’ has 16 boxes on a pallet and there are 16 boxes being sold, so a single pallet is required.</w:t>
      </w:r>
    </w:p>
    <w:p w14:paraId="4BE5259C" w14:textId="07158E67" w:rsidR="00C32A57" w:rsidRDefault="009478EC" w:rsidP="00DC1332">
      <w:r>
        <w:t xml:space="preserve">When the sales order </w:t>
      </w:r>
      <w:r w:rsidR="00DC1332">
        <w:t>is converted to a delivery order the packing slip</w:t>
      </w:r>
      <w:r w:rsidR="00D81AB3">
        <w:t xml:space="preserve"> </w:t>
      </w:r>
      <w:r>
        <w:t>is shown in F</w:t>
      </w:r>
      <w:r w:rsidR="00D81AB3">
        <w:t>igure 1.1</w:t>
      </w:r>
      <w:r w:rsidR="009C346B">
        <w:t>3</w:t>
      </w:r>
      <w:r w:rsidR="00D81AB3">
        <w:t>.</w:t>
      </w:r>
      <w:r w:rsidR="00C32A57">
        <w:t xml:space="preserve">  I have highlighted each of the 3 pallets to show the contents of the pallet.  The 1</w:t>
      </w:r>
      <w:r w:rsidR="00C32A57" w:rsidRPr="00C32A57">
        <w:rPr>
          <w:vertAlign w:val="superscript"/>
        </w:rPr>
        <w:t>st</w:t>
      </w:r>
      <w:r w:rsidR="00C32A57">
        <w:t xml:space="preserve"> pallet is associated with part Auto1 – a full pallet of 24 boxes.  The second pallet is a partial pallet with only 12 boxes. The </w:t>
      </w:r>
      <w:r>
        <w:t>l</w:t>
      </w:r>
      <w:r w:rsidR="00C32A57">
        <w:t>ast pallet is full of boxes for part Auto2.</w:t>
      </w:r>
    </w:p>
    <w:p w14:paraId="3825FAFC" w14:textId="77777777" w:rsidR="00C32A57" w:rsidRDefault="00C32A57" w:rsidP="00DC1332"/>
    <w:p w14:paraId="1E33BE89" w14:textId="30E0B900" w:rsidR="00DC1332" w:rsidRDefault="00C32A57" w:rsidP="00DC1332">
      <w:r>
        <w:t xml:space="preserve">   </w:t>
      </w:r>
    </w:p>
    <w:p w14:paraId="6CEE8F52" w14:textId="7E25D05C" w:rsidR="00D81AB3" w:rsidRDefault="00C32A57" w:rsidP="00DC1332">
      <w:r>
        <w:rPr>
          <w:noProof/>
        </w:rPr>
        <w:lastRenderedPageBreak/>
        <w:drawing>
          <wp:inline distT="0" distB="0" distL="0" distR="0" wp14:anchorId="0BB74C5E" wp14:editId="174DB1FD">
            <wp:extent cx="5943600" cy="2466340"/>
            <wp:effectExtent l="0" t="0" r="0" b="0"/>
            <wp:docPr id="1960535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3514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3ADD5" w14:textId="4910CBBF" w:rsidR="00C32A57" w:rsidRDefault="00C32A57" w:rsidP="00DC1332">
      <w:r>
        <w:rPr>
          <w:noProof/>
        </w:rPr>
        <w:drawing>
          <wp:inline distT="0" distB="0" distL="0" distR="0" wp14:anchorId="24654CFC" wp14:editId="051C3E3C">
            <wp:extent cx="5943600" cy="2466340"/>
            <wp:effectExtent l="0" t="0" r="0" b="0"/>
            <wp:docPr id="1821065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65218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305B4" w14:textId="72BAE163" w:rsidR="00C32A57" w:rsidRDefault="00C32A57" w:rsidP="00DC1332">
      <w:r>
        <w:rPr>
          <w:noProof/>
        </w:rPr>
        <w:drawing>
          <wp:inline distT="0" distB="0" distL="0" distR="0" wp14:anchorId="06657DAB" wp14:editId="00F018BB">
            <wp:extent cx="5943600" cy="2466340"/>
            <wp:effectExtent l="0" t="0" r="0" b="0"/>
            <wp:docPr id="965790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79093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E1417" w14:textId="0CBD404C" w:rsidR="00C32A57" w:rsidRDefault="00C32A57" w:rsidP="00C32A57">
      <w:pPr>
        <w:pStyle w:val="Heading2"/>
        <w:jc w:val="center"/>
      </w:pPr>
      <w:bookmarkStart w:id="14" w:name="_Toc142504030"/>
      <w:r>
        <w:t>Figure 1.1</w:t>
      </w:r>
      <w:r w:rsidR="009C346B">
        <w:t>3</w:t>
      </w:r>
      <w:r>
        <w:t xml:space="preserve"> Breakdown of Pallets for Multiple Containers</w:t>
      </w:r>
      <w:bookmarkEnd w:id="14"/>
    </w:p>
    <w:p w14:paraId="25383A80" w14:textId="77777777" w:rsidR="00C32A57" w:rsidRDefault="00C32A57" w:rsidP="00DC1332"/>
    <w:p w14:paraId="2E3BB9C7" w14:textId="2C6616FD" w:rsidR="00C32A57" w:rsidRDefault="00C32A57" w:rsidP="00DC1332">
      <w:r>
        <w:lastRenderedPageBreak/>
        <w:t>The delivery document reflects all the weights and quantities properly.</w:t>
      </w:r>
    </w:p>
    <w:p w14:paraId="2A19F29D" w14:textId="36281E15" w:rsidR="00C32A57" w:rsidRDefault="00C32A57" w:rsidP="00DC1332">
      <w:r>
        <w:rPr>
          <w:noProof/>
        </w:rPr>
        <w:drawing>
          <wp:inline distT="0" distB="0" distL="0" distR="0" wp14:anchorId="3C16E0AC" wp14:editId="529BC363">
            <wp:extent cx="5943600" cy="5222240"/>
            <wp:effectExtent l="0" t="0" r="0" b="0"/>
            <wp:docPr id="1919732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73248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EA3F0" w14:textId="01F19790" w:rsidR="00C32A57" w:rsidRDefault="00C32A57" w:rsidP="00C32A57">
      <w:pPr>
        <w:pStyle w:val="Heading2"/>
        <w:jc w:val="center"/>
      </w:pPr>
      <w:bookmarkStart w:id="15" w:name="_Toc142504031"/>
      <w:r>
        <w:t>Figure 1.1</w:t>
      </w:r>
      <w:r w:rsidR="009C346B">
        <w:t>4</w:t>
      </w:r>
      <w:r>
        <w:t xml:space="preserve"> Delivery Order with Multiple Parts and Pallets</w:t>
      </w:r>
      <w:bookmarkEnd w:id="15"/>
    </w:p>
    <w:p w14:paraId="2FD1AB3D" w14:textId="77777777" w:rsidR="00C32A57" w:rsidRDefault="00C32A57" w:rsidP="00DC1332"/>
    <w:p w14:paraId="44D78EF4" w14:textId="166252F1" w:rsidR="00C32A57" w:rsidRDefault="00C32A57" w:rsidP="00DC1332">
      <w:r>
        <w:t>What would happen if you only wanted to ship 2 boxes of parts and not use a ‘Pallet’.  Figure 1.1</w:t>
      </w:r>
      <w:r w:rsidR="009C346B">
        <w:t>5</w:t>
      </w:r>
      <w:r>
        <w:t xml:space="preserve"> has a sales order with just such a scenario.</w:t>
      </w:r>
    </w:p>
    <w:p w14:paraId="1D35CC9B" w14:textId="46EE5C25" w:rsidR="00393935" w:rsidRDefault="00393935" w:rsidP="00DC1332">
      <w:r>
        <w:t>The default packaging is shown in Figure 1.1</w:t>
      </w:r>
      <w:r w:rsidR="009C346B">
        <w:t>6</w:t>
      </w:r>
      <w:r>
        <w:t>.  The system ‘Assumes’ that a pallet is required.  The user must edit this packing slip as shown in Figure 1.1</w:t>
      </w:r>
      <w:r w:rsidR="009C346B">
        <w:t>7</w:t>
      </w:r>
      <w:r>
        <w:t>.</w:t>
      </w:r>
    </w:p>
    <w:p w14:paraId="67C9FF95" w14:textId="77777777" w:rsidR="00393935" w:rsidRDefault="00393935" w:rsidP="00DC1332"/>
    <w:p w14:paraId="2A42FA18" w14:textId="3F3CB934" w:rsidR="00C32A57" w:rsidRDefault="00C32A57" w:rsidP="00C32A57">
      <w:pPr>
        <w:jc w:val="center"/>
      </w:pPr>
      <w:r>
        <w:rPr>
          <w:noProof/>
        </w:rPr>
        <w:lastRenderedPageBreak/>
        <w:drawing>
          <wp:inline distT="0" distB="0" distL="0" distR="0" wp14:anchorId="1799E845" wp14:editId="1FCA3DB8">
            <wp:extent cx="5018442" cy="3737024"/>
            <wp:effectExtent l="0" t="0" r="0" b="0"/>
            <wp:docPr id="1253636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636179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21601" cy="373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166CE" w14:textId="16C21CB8" w:rsidR="00C32A57" w:rsidRDefault="00C32A57" w:rsidP="00C32A57">
      <w:pPr>
        <w:pStyle w:val="Heading2"/>
        <w:jc w:val="center"/>
      </w:pPr>
      <w:bookmarkStart w:id="16" w:name="_Toc142504032"/>
      <w:r>
        <w:t>Figure 1.1</w:t>
      </w:r>
      <w:r w:rsidR="009C346B">
        <w:t>5</w:t>
      </w:r>
      <w:r>
        <w:t xml:space="preserve"> Two Box Order – no Pallet Required</w:t>
      </w:r>
      <w:bookmarkEnd w:id="16"/>
    </w:p>
    <w:p w14:paraId="0DA294F8" w14:textId="77777777" w:rsidR="00C32A57" w:rsidRDefault="00C32A57" w:rsidP="00DC1332"/>
    <w:p w14:paraId="3B9826F6" w14:textId="34AD0C3A" w:rsidR="00C32A57" w:rsidRDefault="00393935" w:rsidP="00393935">
      <w:pPr>
        <w:jc w:val="center"/>
      </w:pPr>
      <w:r>
        <w:rPr>
          <w:noProof/>
        </w:rPr>
        <w:drawing>
          <wp:inline distT="0" distB="0" distL="0" distR="0" wp14:anchorId="6DBAD479" wp14:editId="2B32FB3B">
            <wp:extent cx="5346551" cy="2218590"/>
            <wp:effectExtent l="0" t="0" r="0" b="0"/>
            <wp:docPr id="157380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8047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51680" cy="222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7DBBE" w14:textId="084036C7" w:rsidR="00393935" w:rsidRDefault="00393935" w:rsidP="00393935">
      <w:pPr>
        <w:pStyle w:val="Heading2"/>
        <w:jc w:val="center"/>
      </w:pPr>
      <w:bookmarkStart w:id="17" w:name="_Toc142504033"/>
      <w:r>
        <w:t>Figure 1.1</w:t>
      </w:r>
      <w:r w:rsidR="009C346B">
        <w:t>6</w:t>
      </w:r>
      <w:r>
        <w:t xml:space="preserve"> Default Pallet Packaging</w:t>
      </w:r>
      <w:bookmarkEnd w:id="17"/>
    </w:p>
    <w:p w14:paraId="64C3EECD" w14:textId="77777777" w:rsidR="00393935" w:rsidRDefault="00393935" w:rsidP="00DC1332"/>
    <w:p w14:paraId="7C753C08" w14:textId="0EDC4779" w:rsidR="00393935" w:rsidRDefault="00393935" w:rsidP="00393935">
      <w:pPr>
        <w:jc w:val="center"/>
      </w:pPr>
      <w:r>
        <w:rPr>
          <w:noProof/>
        </w:rPr>
        <w:lastRenderedPageBreak/>
        <w:drawing>
          <wp:inline distT="0" distB="0" distL="0" distR="0" wp14:anchorId="33AEA1DC" wp14:editId="3747BDD8">
            <wp:extent cx="5185186" cy="2151631"/>
            <wp:effectExtent l="0" t="0" r="0" b="0"/>
            <wp:docPr id="1482910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10652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91221" cy="215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41372" w14:textId="79BFB55F" w:rsidR="00393935" w:rsidRDefault="00393935" w:rsidP="00393935">
      <w:pPr>
        <w:pStyle w:val="Heading2"/>
        <w:jc w:val="center"/>
      </w:pPr>
      <w:bookmarkStart w:id="18" w:name="_Toc142504034"/>
      <w:r>
        <w:t>Figure 1.1</w:t>
      </w:r>
      <w:r w:rsidR="009C346B">
        <w:t>7</w:t>
      </w:r>
      <w:r>
        <w:t xml:space="preserve"> ‘Loose’ Box Definitions</w:t>
      </w:r>
      <w:bookmarkEnd w:id="18"/>
    </w:p>
    <w:p w14:paraId="19BCE91B" w14:textId="77777777" w:rsidR="00393935" w:rsidRDefault="00393935" w:rsidP="00DC1332"/>
    <w:p w14:paraId="0EB2E7E8" w14:textId="26B42E57" w:rsidR="00393935" w:rsidRDefault="00393935" w:rsidP="00DC1332">
      <w:r>
        <w:t>The delivery order print is shown in Figure 1.1</w:t>
      </w:r>
      <w:r w:rsidR="009C346B">
        <w:t>8</w:t>
      </w:r>
      <w:r>
        <w:t>.</w:t>
      </w:r>
    </w:p>
    <w:p w14:paraId="17041A71" w14:textId="0A467495" w:rsidR="00393935" w:rsidRDefault="00393935" w:rsidP="00DC1332">
      <w:r>
        <w:rPr>
          <w:noProof/>
        </w:rPr>
        <w:drawing>
          <wp:inline distT="0" distB="0" distL="0" distR="0" wp14:anchorId="4BF326CF" wp14:editId="7366DDC7">
            <wp:extent cx="5734050" cy="4152285"/>
            <wp:effectExtent l="0" t="0" r="0" b="635"/>
            <wp:docPr id="1824617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617239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6994" cy="415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03537" w14:textId="03FC3ABD" w:rsidR="00393935" w:rsidRDefault="00393935" w:rsidP="00393935">
      <w:pPr>
        <w:pStyle w:val="Heading2"/>
        <w:jc w:val="center"/>
      </w:pPr>
      <w:bookmarkStart w:id="19" w:name="_Toc142504035"/>
      <w:r>
        <w:t>Figure 1.1</w:t>
      </w:r>
      <w:r w:rsidR="009C346B">
        <w:t>8</w:t>
      </w:r>
      <w:r>
        <w:t xml:space="preserve"> Shipping Document with ‘Loose’ Boxes</w:t>
      </w:r>
      <w:bookmarkEnd w:id="19"/>
    </w:p>
    <w:p w14:paraId="1B9CA011" w14:textId="77777777" w:rsidR="00393935" w:rsidRDefault="00393935" w:rsidP="00DC1332"/>
    <w:p w14:paraId="260AFADE" w14:textId="4C571188" w:rsidR="009C346B" w:rsidRDefault="009C346B">
      <w:r w:rsidRPr="007E15F4">
        <w:rPr>
          <w:b/>
          <w:bCs/>
        </w:rPr>
        <w:t>NOTE</w:t>
      </w:r>
      <w:r>
        <w:t xml:space="preserve">: in the packaging screens I show a field ‘Tracking’ number.  This is a user defined field I use to integrate with UPS </w:t>
      </w:r>
      <w:proofErr w:type="spellStart"/>
      <w:r>
        <w:t>Worldship</w:t>
      </w:r>
      <w:proofErr w:type="spellEnd"/>
      <w:r>
        <w:t xml:space="preserve"> – SAP B1.  It would store the tracking number.</w:t>
      </w:r>
      <w:r>
        <w:br w:type="page"/>
      </w:r>
    </w:p>
    <w:p w14:paraId="4DD8F2E2" w14:textId="1C5E21DA" w:rsidR="009C346B" w:rsidRDefault="009C346B" w:rsidP="009C346B">
      <w:pPr>
        <w:pStyle w:val="Heading1"/>
      </w:pPr>
      <w:bookmarkStart w:id="20" w:name="_Toc142504036"/>
      <w:r>
        <w:lastRenderedPageBreak/>
        <w:t>Appendix A Boyum ‘Documents’ – Adding Packaging Details</w:t>
      </w:r>
      <w:bookmarkEnd w:id="20"/>
    </w:p>
    <w:p w14:paraId="1A61C115" w14:textId="5D8FF8E4" w:rsidR="009C346B" w:rsidRDefault="009C346B" w:rsidP="00DC1332">
      <w:r>
        <w:t xml:space="preserve">Boyum provides a comprehensive ‘Document’ print template for all marketing documents.  It is much more accessible for modifications than the standard SAP ‘system’ documents.  </w:t>
      </w:r>
      <w:r w:rsidR="00FE28E8">
        <w:t xml:space="preserve">I have made a few changes to the form and renamed it to reflect that </w:t>
      </w:r>
      <w:proofErr w:type="spellStart"/>
      <w:r w:rsidR="00FE28E8">
        <w:t>Mascidon</w:t>
      </w:r>
      <w:proofErr w:type="spellEnd"/>
      <w:r w:rsidR="00FE28E8">
        <w:t xml:space="preserve"> has made changes.  The first thing I did was changed the logo – you would need to do this for your company.</w:t>
      </w:r>
    </w:p>
    <w:p w14:paraId="41D7310C" w14:textId="35248DFB" w:rsidR="00FE28E8" w:rsidRDefault="00FE28E8" w:rsidP="00DC1332">
      <w:r>
        <w:t>Then I added a ‘</w:t>
      </w:r>
      <w:proofErr w:type="spellStart"/>
      <w:r>
        <w:t>subreport</w:t>
      </w:r>
      <w:proofErr w:type="spellEnd"/>
      <w:r>
        <w:t>’ to report packaging information when the document being printed is a ‘Delivery Order’.  Figure A-1 shows the resulting report showing the packaging.</w:t>
      </w:r>
    </w:p>
    <w:p w14:paraId="5F7A4EA6" w14:textId="16A6C154" w:rsidR="00FE28E8" w:rsidRDefault="00FE28E8" w:rsidP="00FE28E8">
      <w:pPr>
        <w:jc w:val="center"/>
      </w:pPr>
      <w:r>
        <w:rPr>
          <w:noProof/>
        </w:rPr>
        <w:drawing>
          <wp:inline distT="0" distB="0" distL="0" distR="0" wp14:anchorId="165374EE" wp14:editId="44DD0594">
            <wp:extent cx="5205528" cy="3981450"/>
            <wp:effectExtent l="0" t="0" r="0" b="0"/>
            <wp:docPr id="1131586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586457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08931" cy="398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0AA0F" w14:textId="4E4C74AE" w:rsidR="00FE28E8" w:rsidRDefault="00FE28E8" w:rsidP="00FE28E8">
      <w:pPr>
        <w:pStyle w:val="Heading2"/>
        <w:jc w:val="center"/>
      </w:pPr>
      <w:bookmarkStart w:id="21" w:name="_Toc142504037"/>
      <w:r>
        <w:t>Figure A-1 Delivery Order with Packaging Data</w:t>
      </w:r>
      <w:bookmarkEnd w:id="21"/>
    </w:p>
    <w:p w14:paraId="3611DCA6" w14:textId="77777777" w:rsidR="00FE28E8" w:rsidRDefault="00FE28E8" w:rsidP="00DC1332"/>
    <w:p w14:paraId="221ECF9F" w14:textId="5A46B972" w:rsidR="00FE28E8" w:rsidRDefault="00FE28E8" w:rsidP="00DC1332">
      <w:r>
        <w:t>The packaging information is stored in 2 tables – DLN7 – the header packaging level, and DLN8 the container level detail.  The ‘command line’ code behind the packaging is shown in Figure A-2.</w:t>
      </w:r>
    </w:p>
    <w:p w14:paraId="09CE1246" w14:textId="31464904" w:rsidR="00FE28E8" w:rsidRDefault="00FE28E8" w:rsidP="00DC1332">
      <w:r>
        <w:rPr>
          <w:noProof/>
        </w:rPr>
        <w:lastRenderedPageBreak/>
        <w:drawing>
          <wp:inline distT="0" distB="0" distL="0" distR="0" wp14:anchorId="706BE52F" wp14:editId="70A1FE72">
            <wp:extent cx="5943600" cy="2379980"/>
            <wp:effectExtent l="0" t="0" r="0" b="1270"/>
            <wp:docPr id="774073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073484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E3512" w14:textId="1095A500" w:rsidR="00FE28E8" w:rsidRDefault="00FE28E8" w:rsidP="00FE28E8">
      <w:pPr>
        <w:pStyle w:val="Heading2"/>
        <w:jc w:val="center"/>
      </w:pPr>
      <w:bookmarkStart w:id="22" w:name="_Toc142504038"/>
      <w:r>
        <w:t>Figure A-2 Packaging Sub-Report Command Line SQL</w:t>
      </w:r>
      <w:bookmarkEnd w:id="22"/>
    </w:p>
    <w:p w14:paraId="70272540" w14:textId="77777777" w:rsidR="00FE28E8" w:rsidRDefault="00FE28E8" w:rsidP="00DC1332"/>
    <w:p w14:paraId="2EFEF810" w14:textId="18B9D760" w:rsidR="00FE28E8" w:rsidRDefault="00FE28E8" w:rsidP="00DC1332">
      <w:r w:rsidRPr="00FE28E8">
        <w:rPr>
          <w:b/>
          <w:bCs/>
        </w:rPr>
        <w:t>NOTE</w:t>
      </w:r>
      <w:r>
        <w:t>: the links are only to ODLN – the delivery order, so packaging will not appear on any other ‘Document’ reports.</w:t>
      </w:r>
    </w:p>
    <w:p w14:paraId="3376DDE1" w14:textId="508A3560" w:rsidR="00FE28E8" w:rsidRDefault="00FE28E8" w:rsidP="00DC1332">
      <w:r>
        <w:t>To ensure the packaging only appears for delivery order documents, I a</w:t>
      </w:r>
      <w:r w:rsidR="007E15F4">
        <w:t>dded the information shown in Figure A-3 to the Section Expert for the main report.  The sub-report is in the ‘Report Footer b’ section of the main report. I suppress the sub-report for documents that are not object type 15 (delivery orders).</w:t>
      </w:r>
    </w:p>
    <w:p w14:paraId="5276A62C" w14:textId="323B948E" w:rsidR="007E15F4" w:rsidRDefault="007E15F4" w:rsidP="00DC1332">
      <w:r>
        <w:t>The sub-report has a few calculations to determine the total weight of the parts, boxes and pallets.</w:t>
      </w:r>
    </w:p>
    <w:p w14:paraId="616E6D04" w14:textId="1635679B" w:rsidR="007E15F4" w:rsidRDefault="007E15F4" w:rsidP="00DC1332">
      <w:r>
        <w:t>The link between the main report and the sub-report is ‘</w:t>
      </w:r>
      <w:proofErr w:type="spellStart"/>
      <w:r>
        <w:t>Docentry</w:t>
      </w:r>
      <w:proofErr w:type="spellEnd"/>
      <w:r>
        <w:t>’.</w:t>
      </w:r>
    </w:p>
    <w:p w14:paraId="0386FB60" w14:textId="77777777" w:rsidR="007E15F4" w:rsidRDefault="007E15F4" w:rsidP="00DC1332"/>
    <w:p w14:paraId="09258BE2" w14:textId="77777777" w:rsidR="007E15F4" w:rsidRDefault="007E15F4" w:rsidP="00DC1332"/>
    <w:p w14:paraId="7D790F33" w14:textId="57250EBF" w:rsidR="00FE28E8" w:rsidRDefault="00FE28E8" w:rsidP="007E15F4">
      <w:pPr>
        <w:jc w:val="center"/>
      </w:pPr>
      <w:r>
        <w:rPr>
          <w:noProof/>
        </w:rPr>
        <w:lastRenderedPageBreak/>
        <w:drawing>
          <wp:inline distT="0" distB="0" distL="0" distR="0" wp14:anchorId="43B39F09" wp14:editId="4372B4E7">
            <wp:extent cx="4838700" cy="4504747"/>
            <wp:effectExtent l="0" t="0" r="0" b="0"/>
            <wp:docPr id="352434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34208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43207" cy="450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EC578" w14:textId="77777777" w:rsidR="00FE28E8" w:rsidRDefault="00FE28E8" w:rsidP="00DC1332"/>
    <w:p w14:paraId="7EB7C86D" w14:textId="04402A0F" w:rsidR="00FE28E8" w:rsidRDefault="007E15F4" w:rsidP="007E15F4">
      <w:pPr>
        <w:pStyle w:val="Heading2"/>
        <w:jc w:val="center"/>
      </w:pPr>
      <w:bookmarkStart w:id="23" w:name="_Toc142504039"/>
      <w:r>
        <w:t>Figure A-3 Limiting the Package Details to Delivery Orders</w:t>
      </w:r>
      <w:bookmarkEnd w:id="23"/>
    </w:p>
    <w:p w14:paraId="3320F771" w14:textId="77777777" w:rsidR="007E15F4" w:rsidRDefault="007E15F4" w:rsidP="00DC1332"/>
    <w:p w14:paraId="7DCE33A9" w14:textId="77777777" w:rsidR="009C346B" w:rsidRPr="00DC1332" w:rsidRDefault="009C346B" w:rsidP="00DC1332"/>
    <w:sectPr w:rsidR="009C346B" w:rsidRPr="00DC1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A7A"/>
    <w:multiLevelType w:val="hybridMultilevel"/>
    <w:tmpl w:val="9FD89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20CE9"/>
    <w:multiLevelType w:val="hybridMultilevel"/>
    <w:tmpl w:val="D7F203F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844784943">
    <w:abstractNumId w:val="1"/>
  </w:num>
  <w:num w:numId="2" w16cid:durableId="17415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0D"/>
    <w:rsid w:val="00082735"/>
    <w:rsid w:val="000D2D75"/>
    <w:rsid w:val="00223F0D"/>
    <w:rsid w:val="00393935"/>
    <w:rsid w:val="003A3828"/>
    <w:rsid w:val="00416381"/>
    <w:rsid w:val="004F3506"/>
    <w:rsid w:val="006B1612"/>
    <w:rsid w:val="0074748F"/>
    <w:rsid w:val="007E15F4"/>
    <w:rsid w:val="00802A10"/>
    <w:rsid w:val="008A4B00"/>
    <w:rsid w:val="008C5304"/>
    <w:rsid w:val="009478EC"/>
    <w:rsid w:val="009C346B"/>
    <w:rsid w:val="00A95790"/>
    <w:rsid w:val="00C32A57"/>
    <w:rsid w:val="00CA45EB"/>
    <w:rsid w:val="00CE1CAD"/>
    <w:rsid w:val="00D81AB3"/>
    <w:rsid w:val="00DC1332"/>
    <w:rsid w:val="00F21302"/>
    <w:rsid w:val="00F362D9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50257"/>
  <w15:chartTrackingRefBased/>
  <w15:docId w15:val="{5A6E38E6-5D45-4283-9305-04629D99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F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5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23F0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5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478EC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478E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478E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47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95FC-B0E1-41A7-905C-C3AE9E39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18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Maes</dc:creator>
  <cp:keywords/>
  <dc:description/>
  <cp:lastModifiedBy>Donald Maes</cp:lastModifiedBy>
  <cp:revision>3</cp:revision>
  <dcterms:created xsi:type="dcterms:W3CDTF">2023-08-10T00:05:00Z</dcterms:created>
  <dcterms:modified xsi:type="dcterms:W3CDTF">2023-08-10T00:06:00Z</dcterms:modified>
</cp:coreProperties>
</file>